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附件2</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adjustRightInd w:val="0"/>
        <w:snapToGrid w:val="0"/>
        <w:spacing w:line="560" w:lineRule="exact"/>
        <w:ind w:firstLine="560" w:firstLineChars="200"/>
        <w:rPr>
          <w:rFonts w:hint="eastAsia"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中共北京市朝阳区纪律检查委员会由中共北京市朝阳区代表大会选举产生，是党的纪律检查机关；北京市朝阳区监察委员会由北京市朝阳区人民代表大会产生，是监察机关。区纪委与区监委合署办公，实行一套工作机构、两个机关名称，履行党的纪律检查和国家监察两项职责，对区委全面负责。</w:t>
      </w:r>
    </w:p>
    <w:p>
      <w:pPr>
        <w:adjustRightInd w:val="0"/>
        <w:snapToGrid w:val="0"/>
        <w:spacing w:line="560" w:lineRule="exact"/>
        <w:ind w:firstLine="560" w:firstLineChars="200"/>
        <w:rPr>
          <w:rFonts w:hint="eastAsia"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中共北京市朝阳区纪律检查委员会、北京市朝阳区监察委员会合署办公，履行纪检、监察两项职责，实行一套工作机构、两个机关名称。设置17个部室、2个中心和机关党委，具体包括：办公室、组织部、宣传部、研究室、党风政风监督室、信访室、案件监督管理室、第一至第四监督检查室、第五至第八审查调查室、案件审理室、纪检监察干部监督室、信息技术保障中心、办案安全保障中心、机关党委。</w:t>
      </w:r>
    </w:p>
    <w:p>
      <w:pPr>
        <w:pStyle w:val="10"/>
        <w:adjustRightInd w:val="0"/>
        <w:snapToGrid w:val="0"/>
        <w:spacing w:line="560" w:lineRule="exact"/>
        <w:ind w:firstLine="560"/>
        <w:rPr>
          <w:rFonts w:hint="eastAsia"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rPr>
        <w:t>中共北京市朝阳区纪律检查委员会本预算年度的主要工作任务为：第一，牢记初心使命，强化政治监督，自觉履行“两个维护”的特殊历史使命和重大政治责任。第二，持续深入整治群众身边腐败和作风问题，厚植党执政的政治基础和群众基础。第三，持续深化纪检监察体制改革，推动健全党和国家监督体系各项制度落地见效。第四，严格履行党内监督和国家监察专责机关职能，强化对权力运行的制约和监督。第五，坚定不移纠“四风”、树新风，持续巩固拓展作风建设成果。第六，一体推进不敢腐、不能腐、不想腐，巩固发展反腐败斗争压倒性胜利。第七，从严从实加强自身建设，锻造高素质专业化的纪检监察铁军。</w:t>
      </w:r>
    </w:p>
    <w:p>
      <w:pPr>
        <w:numPr>
          <w:ilvl w:val="0"/>
          <w:numId w:val="1"/>
        </w:num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部门整体绩效目标设立情况</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我委的财政资金使用支出主要围绕以下几个方面工作：</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主管全区党的纪律检查工作，维护党的章程和其他党内法规；协助区委加强党风建设，检查党的路线、方针、政策和决议的执行情况；对本地区所有行使公权力的公职人员依法实施监察；履行监督、调查、处置职责，监督检查公职人员依法履职、秉公用权、廉洁从政以及道德操守情况，调查涉嫌贪污贿赂、滥用职权、玩忽职守、权力寻租、利益输送、徇私舞弊以及浪费国家资财等职务违法和职务犯罪行为并作出处置决定，对涉嫌职务犯罪的，移送检察机关依法提起公诉。</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受理对区属党的组织和党员领导干部违反党纪行为的检举、控告；受理党组织、党员不服党纪处分的申诉；受理对区政府各工作部门及其国家公务员、乡政府及其领导人员和区、乡政府及其各部门任命的其他人员违反行政纪律行为的检举、控告；受理国家公务员和区、乡政府及其各部门任命的其他人员不服主管行政机关给予行政处分决定的申诉，以及法律、行政法规规定的其他由监察机关受理的申诉。</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检查和处理区属党的组织和党员领导干部违反党的章程和其他党内法规的案件，决定或取消对这些案件中的党员的处分，必要时直接查处下级党的纪律检查机关管辖范围内的比较重要或复杂的案件；调查处理本地区所有行使公权力的公职人员违反行政纪律的行为。</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（4）负责纪检监察工作理论及有关问题的调查研究工作；作出关于维护党纪的决定，制定有关制度、规定。</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（5）对本区党员和国家公务员进行党风廉政和遵守纪律的教育；做好党的纪检、监察工作方针、政策和法律法规的宣传工作；组织和指导全区纪检监察系统干部的培训工作。</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（6）负责区纪委区监委向区委、区政府工作部门派出（驻）的纪检监察机构的管理工作。</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（7）按干部管理权限和分工，协助组织部门做好纪检监察干部的管理及基层纪检监察主要领导干部的考察工作。</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（8）承办区委、区政府和市纪委市监委交办的其他工作。</w:t>
      </w:r>
    </w:p>
    <w:p>
      <w:pPr>
        <w:numPr>
          <w:ilvl w:val="0"/>
          <w:numId w:val="0"/>
        </w:num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2023年全年预算数7485.47万元，其中，基本支出预算数6311.06万元，项目支出1174.41万元，其他支出</w:t>
      </w:r>
      <w:r>
        <w:rPr>
          <w:rFonts w:hint="eastAsia" w:ascii="仿宋_GB2312" w:hAnsi="宋体" w:eastAsia="仿宋_GB2312"/>
          <w:sz w:val="28"/>
          <w:szCs w:val="28"/>
          <w:lang w:val="en-US" w:eastAsia="zh-CN"/>
        </w:rPr>
        <w:t>0</w:t>
      </w:r>
      <w:r>
        <w:rPr>
          <w:rFonts w:hint="eastAsia" w:ascii="仿宋_GB2312" w:hAnsi="宋体" w:eastAsia="仿宋_GB2312"/>
          <w:sz w:val="28"/>
          <w:szCs w:val="28"/>
        </w:rPr>
        <w:t>万元。资金总体支出</w:t>
      </w:r>
      <w:r>
        <w:rPr>
          <w:rFonts w:hint="eastAsia" w:ascii="仿宋_GB2312" w:hAnsi="宋体" w:eastAsia="仿宋_GB2312"/>
          <w:sz w:val="28"/>
          <w:szCs w:val="28"/>
          <w:lang w:val="en-US" w:eastAsia="zh-CN"/>
        </w:rPr>
        <w:t>8036.11</w:t>
      </w:r>
      <w:r>
        <w:rPr>
          <w:rFonts w:hint="eastAsia" w:ascii="仿宋_GB2312" w:hAnsi="宋体" w:eastAsia="仿宋_GB2312"/>
          <w:sz w:val="28"/>
          <w:szCs w:val="28"/>
        </w:rPr>
        <w:t>万元，其中，基本支出</w:t>
      </w:r>
      <w:r>
        <w:rPr>
          <w:rFonts w:hint="eastAsia" w:ascii="仿宋_GB2312" w:hAnsi="宋体" w:eastAsia="仿宋_GB2312"/>
          <w:sz w:val="28"/>
          <w:szCs w:val="28"/>
          <w:lang w:val="en-US" w:eastAsia="zh-CN"/>
        </w:rPr>
        <w:t>6501.63</w:t>
      </w:r>
      <w:r>
        <w:rPr>
          <w:rFonts w:hint="eastAsia" w:ascii="仿宋_GB2312" w:hAnsi="宋体" w:eastAsia="仿宋_GB2312"/>
          <w:sz w:val="28"/>
          <w:szCs w:val="28"/>
        </w:rPr>
        <w:t>万元，项目支出</w:t>
      </w:r>
      <w:r>
        <w:rPr>
          <w:rFonts w:hint="eastAsia" w:ascii="仿宋_GB2312" w:hAnsi="宋体" w:eastAsia="仿宋_GB2312"/>
          <w:sz w:val="28"/>
          <w:szCs w:val="28"/>
          <w:lang w:val="en-US" w:eastAsia="zh-CN"/>
        </w:rPr>
        <w:t>1534.48</w:t>
      </w:r>
      <w:r>
        <w:rPr>
          <w:rFonts w:hint="eastAsia" w:ascii="仿宋_GB2312" w:hAnsi="宋体" w:eastAsia="仿宋_GB2312"/>
          <w:sz w:val="28"/>
          <w:szCs w:val="28"/>
        </w:rPr>
        <w:t>万元，其他支出</w:t>
      </w:r>
      <w:r>
        <w:rPr>
          <w:rFonts w:hint="eastAsia" w:ascii="仿宋_GB2312" w:hAnsi="宋体" w:eastAsia="仿宋_GB2312"/>
          <w:sz w:val="28"/>
          <w:szCs w:val="28"/>
          <w:lang w:val="en-US" w:eastAsia="zh-CN"/>
        </w:rPr>
        <w:t>0</w:t>
      </w:r>
      <w:r>
        <w:rPr>
          <w:rFonts w:hint="eastAsia" w:ascii="仿宋_GB2312" w:hAnsi="宋体" w:eastAsia="仿宋_GB2312"/>
          <w:sz w:val="28"/>
          <w:szCs w:val="28"/>
        </w:rPr>
        <w:t>万元。预算执行率为</w:t>
      </w:r>
      <w:r>
        <w:rPr>
          <w:rFonts w:hint="eastAsia" w:ascii="仿宋_GB2312" w:hAnsi="宋体" w:eastAsia="仿宋_GB2312"/>
          <w:sz w:val="28"/>
          <w:szCs w:val="28"/>
          <w:lang w:val="en-US" w:eastAsia="zh-CN"/>
        </w:rPr>
        <w:t>99.57%</w:t>
      </w:r>
      <w:r>
        <w:rPr>
          <w:rFonts w:hint="eastAsia" w:ascii="仿宋_GB2312" w:hAnsi="宋体" w:eastAsia="仿宋_GB2312"/>
          <w:sz w:val="28"/>
          <w:szCs w:val="28"/>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adjustRightInd w:val="0"/>
        <w:snapToGrid w:val="0"/>
        <w:spacing w:line="560" w:lineRule="exact"/>
        <w:ind w:firstLine="560" w:firstLineChars="200"/>
        <w:rPr>
          <w:rFonts w:hint="eastAsia" w:ascii="仿宋_GB2312" w:hAnsi="Times New Roman" w:eastAsia="仿宋_GB2312" w:cs="Times New Roman"/>
          <w:sz w:val="28"/>
          <w:szCs w:val="28"/>
          <w:shd w:val="clear" w:color="auto" w:fill="FFFFFF"/>
        </w:rPr>
      </w:pPr>
      <w:r>
        <w:rPr>
          <w:rFonts w:hint="eastAsia" w:ascii="仿宋_GB2312" w:hAnsi="Times New Roman" w:eastAsia="仿宋_GB2312" w:cs="Times New Roman"/>
          <w:sz w:val="28"/>
          <w:szCs w:val="28"/>
          <w:shd w:val="clear" w:color="auto" w:fill="FFFFFF"/>
        </w:rPr>
        <w:t>中共北京市朝阳区纪律检查委员会部门整体绩效目标是主管全区党的纪律检查工作，维护党的章程和其他党内法规；协助区委加强党风建设，检查党的路线、方针、政策和决议的执行情况；对本地区所有行使公权力的公职人员依法实施监察；履行监督、调查、处置职责，监督检查公职人员依法履职。</w:t>
      </w:r>
    </w:p>
    <w:p>
      <w:pPr>
        <w:adjustRightInd w:val="0"/>
        <w:snapToGrid w:val="0"/>
        <w:spacing w:line="560" w:lineRule="exact"/>
        <w:ind w:firstLine="560" w:firstLineChars="200"/>
        <w:jc w:val="both"/>
      </w:pPr>
      <w:r>
        <w:rPr>
          <w:rFonts w:hint="eastAsia" w:ascii="仿宋_GB2312" w:hAnsi="Times New Roman" w:eastAsia="仿宋_GB2312" w:cs="Times New Roman"/>
          <w:sz w:val="28"/>
          <w:szCs w:val="28"/>
          <w:shd w:val="clear" w:color="auto" w:fill="FFFFFF"/>
        </w:rPr>
        <w:t>部门整体支出绩效目标完成情况及绩效实现情况主要体现在完成和实现全年工作任务目标，我委部门整体支出绩效目标从产出完</w:t>
      </w:r>
      <w:r>
        <w:rPr>
          <w:rFonts w:hint="eastAsia" w:ascii="仿宋_GB2312" w:hAnsi="Times New Roman" w:eastAsia="仿宋_GB2312" w:cs="Times New Roman"/>
          <w:sz w:val="28"/>
          <w:szCs w:val="28"/>
        </w:rPr>
        <w:t>成情况分析和效果实现情况分析等方面逐项分析，均已完成既定目标。</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公用">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方正大标宋简体">
    <w:panose1 w:val="02010601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楷体">
    <w:panose1 w:val="02010609060101010101"/>
    <w:charset w:val="86"/>
    <w:family w:val="swiss"/>
    <w:pitch w:val="default"/>
    <w:sig w:usb0="800002BF" w:usb1="38CF7CFA" w:usb2="00000016" w:usb3="00000000" w:csb0="00040001" w:csb1="00000000"/>
  </w:font>
  <w:font w:name="Cambria Math">
    <w:panose1 w:val="02040503050406030204"/>
    <w:charset w:val="01"/>
    <w:family w:val="auto"/>
    <w:pitch w:val="default"/>
    <w:sig w:usb0="E00002FF" w:usb1="42002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Times New Romance">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可口可乐在乎体 楷体">
    <w:altName w:val="楷体_GB2312"/>
    <w:panose1 w:val="020B0A05030303020204"/>
    <w:charset w:val="86"/>
    <w:family w:val="auto"/>
    <w:pitch w:val="default"/>
    <w:sig w:usb0="00000000" w:usb1="00000000" w:usb2="00000012" w:usb3="00000000" w:csb0="20040193" w:csb1="0000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CC27A7"/>
    <w:multiLevelType w:val="singleLevel"/>
    <w:tmpl w:val="66CC27A7"/>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23434C"/>
    <w:rsid w:val="00465181"/>
    <w:rsid w:val="0057202C"/>
    <w:rsid w:val="005E3946"/>
    <w:rsid w:val="0060746B"/>
    <w:rsid w:val="00826643"/>
    <w:rsid w:val="00954F6E"/>
    <w:rsid w:val="00B03B70"/>
    <w:rsid w:val="00CF07EE"/>
    <w:rsid w:val="00E617B2"/>
    <w:rsid w:val="00F42C33"/>
    <w:rsid w:val="423B4033"/>
    <w:rsid w:val="544A24FB"/>
    <w:rsid w:val="5B1D39DF"/>
    <w:rsid w:val="5B9D66B5"/>
    <w:rsid w:val="5E295C4F"/>
    <w:rsid w:val="6E0E5CF7"/>
    <w:rsid w:val="77772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9"/>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0"/>
    <w:rPr>
      <w:rFonts w:ascii="Times New Roman" w:hAnsi="Times New Roman" w:eastAsia="宋体" w:cs="Times New Roman"/>
      <w:kern w:val="2"/>
      <w:sz w:val="18"/>
      <w:szCs w:val="18"/>
    </w:rPr>
  </w:style>
  <w:style w:type="character" w:customStyle="1" w:styleId="9">
    <w:name w:val="批注框文本 字符"/>
    <w:basedOn w:val="6"/>
    <w:link w:val="3"/>
    <w:semiHidden/>
    <w:qFormat/>
    <w:uiPriority w:val="0"/>
    <w:rPr>
      <w:rFonts w:ascii="Times New Roman" w:hAnsi="Times New Roman" w:eastAsia="宋体" w:cs="Times New Roman"/>
      <w:kern w:val="2"/>
      <w:sz w:val="18"/>
      <w:szCs w:val="18"/>
    </w:rPr>
  </w:style>
  <w:style w:type="paragraph" w:customStyle="1" w:styleId="10">
    <w:name w:val="_Style 1"/>
    <w:basedOn w:val="1"/>
    <w:semiHidden/>
    <w:qFormat/>
    <w:uiPriority w:val="34"/>
    <w:pPr>
      <w:widowControl w:val="0"/>
      <w:ind w:firstLine="420" w:firstLineChars="20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Words>
  <Characters>448</Characters>
  <Lines>3</Lines>
  <Paragraphs>1</Paragraphs>
  <ScaleCrop>false</ScaleCrop>
  <LinksUpToDate>false</LinksUpToDate>
  <CharactersWithSpaces>525</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Administrator</cp:lastModifiedBy>
  <cp:lastPrinted>2024-02-27T01:50:00Z</cp:lastPrinted>
  <dcterms:modified xsi:type="dcterms:W3CDTF">2024-09-05T06:25:43Z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